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B" w:rsidRPr="00EC3DD5" w:rsidRDefault="00A9204B" w:rsidP="00A9204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C3DD5">
        <w:rPr>
          <w:rFonts w:ascii="Times New Roman" w:hAnsi="Times New Roman" w:cs="Times New Roman"/>
          <w:b/>
          <w:bCs/>
          <w:sz w:val="40"/>
          <w:szCs w:val="40"/>
        </w:rPr>
        <w:t>‘IAP Immunization Timetable 201</w:t>
      </w:r>
      <w:r w:rsidR="003D60A0" w:rsidRPr="00EC3DD5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EC3DD5">
        <w:rPr>
          <w:rFonts w:ascii="Times New Roman" w:hAnsi="Times New Roman" w:cs="Times New Roman"/>
          <w:b/>
          <w:bCs/>
          <w:sz w:val="40"/>
          <w:szCs w:val="40"/>
        </w:rPr>
        <w:t>’</w:t>
      </w:r>
    </w:p>
    <w:p w:rsidR="00A9204B" w:rsidRPr="00EC3DD5" w:rsidRDefault="00A9204B" w:rsidP="00A92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DD5">
        <w:rPr>
          <w:rFonts w:ascii="Times New Roman" w:hAnsi="Times New Roman" w:cs="Times New Roman"/>
          <w:b/>
          <w:bCs/>
          <w:sz w:val="28"/>
          <w:szCs w:val="28"/>
        </w:rPr>
        <w:t>I. IAP recommended vaccines for routine use</w:t>
      </w:r>
    </w:p>
    <w:tbl>
      <w:tblPr>
        <w:tblStyle w:val="TableGrid"/>
        <w:tblW w:w="12798" w:type="dxa"/>
        <w:tblLook w:val="04A0"/>
      </w:tblPr>
      <w:tblGrid>
        <w:gridCol w:w="3888"/>
        <w:gridCol w:w="2610"/>
        <w:gridCol w:w="6300"/>
      </w:tblGrid>
      <w:tr w:rsidR="00A9204B" w:rsidRPr="00EC3DD5" w:rsidTr="00D45A2C">
        <w:trPr>
          <w:trHeight w:val="728"/>
        </w:trPr>
        <w:tc>
          <w:tcPr>
            <w:tcW w:w="3888" w:type="dxa"/>
            <w:shd w:val="clear" w:color="auto" w:fill="365F91" w:themeFill="accent1" w:themeFillShade="BF"/>
            <w:vAlign w:val="center"/>
          </w:tcPr>
          <w:p w:rsidR="00A9204B" w:rsidRPr="00EC3DD5" w:rsidRDefault="00A9204B" w:rsidP="00D45A2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  <w:p w:rsidR="00A9204B" w:rsidRPr="00EC3DD5" w:rsidRDefault="00A9204B" w:rsidP="00D45A2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(completed  weeks/months/years)</w:t>
            </w:r>
          </w:p>
          <w:p w:rsidR="00A9204B" w:rsidRPr="00EC3DD5" w:rsidRDefault="00A9204B" w:rsidP="00D45A2C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365F91" w:themeFill="accent1" w:themeFillShade="BF"/>
            <w:vAlign w:val="center"/>
          </w:tcPr>
          <w:p w:rsidR="00A9204B" w:rsidRPr="00EC3DD5" w:rsidRDefault="00A9204B" w:rsidP="00D45A2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Vaccines</w:t>
            </w:r>
          </w:p>
        </w:tc>
        <w:tc>
          <w:tcPr>
            <w:tcW w:w="6300" w:type="dxa"/>
            <w:shd w:val="clear" w:color="auto" w:fill="365F91" w:themeFill="accent1" w:themeFillShade="BF"/>
            <w:vAlign w:val="center"/>
          </w:tcPr>
          <w:p w:rsidR="00A9204B" w:rsidRPr="00EC3DD5" w:rsidRDefault="00A9204B" w:rsidP="00D45A2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A9204B" w:rsidRPr="00EC3DD5" w:rsidTr="00D45A2C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BCG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OPV 0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-B 1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  <w:vAlign w:val="center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Administer these vaccines to all newborns before hospital discharge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04B" w:rsidRPr="00EC3DD5" w:rsidTr="00D45A2C">
        <w:tc>
          <w:tcPr>
            <w:tcW w:w="3888" w:type="dxa"/>
            <w:shd w:val="clear" w:color="auto" w:fill="DBE5F1" w:themeFill="accent1" w:themeFillTint="33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6 weeks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IPV 1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-B 2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Hib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Rotavirus 1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br/>
              <w:t>PCV 1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204B" w:rsidRPr="00EC3DD5" w:rsidRDefault="00A9204B" w:rsidP="00D45A2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DTP:</w:t>
            </w:r>
          </w:p>
          <w:p w:rsidR="00A9204B" w:rsidRPr="00EC3DD5" w:rsidRDefault="00A9204B" w:rsidP="00A920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DTaP</w:t>
            </w:r>
            <w:proofErr w:type="spellEnd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vaccine/combinations should preferably be avoided for the primary series</w:t>
            </w:r>
          </w:p>
          <w:p w:rsidR="00A9204B" w:rsidRPr="00EC3DD5" w:rsidRDefault="00A9204B" w:rsidP="00D45A2C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204B" w:rsidRPr="00EC3DD5" w:rsidRDefault="00A9204B" w:rsidP="00A9204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DTaP</w:t>
            </w:r>
            <w:proofErr w:type="spellEnd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vaccine/combinations should be preferred in  certain specific circumstances/conditions only</w:t>
            </w:r>
          </w:p>
          <w:p w:rsidR="002B2932" w:rsidRPr="00EC3DD5" w:rsidRDefault="002B2932" w:rsidP="002B2932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2932" w:rsidRPr="00EC3DD5" w:rsidRDefault="002B2932" w:rsidP="00A9204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 need of repeating/giving additional doses of whole-cell </w:t>
            </w:r>
            <w:proofErr w:type="spellStart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pertussis</w:t>
            </w:r>
            <w:proofErr w:type="spellEnd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wP</w:t>
            </w:r>
            <w:proofErr w:type="spellEnd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vaccine to a child who has earlier completed their primary schedule with </w:t>
            </w:r>
            <w:proofErr w:type="spellStart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acellular</w:t>
            </w:r>
            <w:proofErr w:type="spellEnd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pertussis</w:t>
            </w:r>
            <w:proofErr w:type="spellEnd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proofErr w:type="spellEnd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) vaccine-containing products</w:t>
            </w:r>
          </w:p>
          <w:p w:rsidR="00A9204B" w:rsidRPr="00EC3DD5" w:rsidRDefault="00A9204B" w:rsidP="00D45A2C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204B" w:rsidRPr="00EC3DD5" w:rsidRDefault="00A9204B" w:rsidP="00D45A2C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Polio:</w:t>
            </w:r>
          </w:p>
          <w:p w:rsidR="00A9204B" w:rsidRPr="00EC3DD5" w:rsidRDefault="00A9204B" w:rsidP="00A920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All doses of IPV may be replaced with OPV if administration of the former is unfeasible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A920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Additional doses of OPV on all supplementary immunization activities (SIAs)</w:t>
            </w:r>
          </w:p>
          <w:p w:rsidR="00A9204B" w:rsidRPr="00EC3DD5" w:rsidRDefault="00A9204B" w:rsidP="00D45A2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A920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Two doses of IPV instead of 3 for primary series if started at 8 weeks, and 8 weeks interval between the doses</w:t>
            </w:r>
          </w:p>
          <w:p w:rsidR="00A9204B" w:rsidRPr="00EC3DD5" w:rsidRDefault="00A9204B" w:rsidP="00D45A2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204B" w:rsidRPr="00EC3DD5" w:rsidRDefault="00A9204B" w:rsidP="00A920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No child should leave </w:t>
            </w:r>
            <w:r w:rsidR="003D60A0"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facility without polio immunization (IPV or OPV), if indicated by the schedule</w:t>
            </w:r>
          </w:p>
          <w:p w:rsidR="00A9204B" w:rsidRPr="00EC3DD5" w:rsidRDefault="00A9204B" w:rsidP="00D45A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Rotavirus: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A920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2 doses of RV1 and 3 doses of RV5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A920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RV1 should be employed in 10 &amp; 14 week schedule, instead of  6 &amp; 10 week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A920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10 &amp; 14 week schedule of RV1 is found to be far more immunogenic than existing 6 &amp; 10 week schedule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04B" w:rsidRPr="00EC3DD5" w:rsidTr="00D45A2C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weeks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IPV 2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Hib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*Rotavirus 2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br/>
              <w:t>PCV 2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Rotavirus: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If RV1 is chosen, the first dose should be given at 10 weeks</w:t>
            </w:r>
          </w:p>
        </w:tc>
      </w:tr>
      <w:tr w:rsidR="00A9204B" w:rsidRPr="00EC3DD5" w:rsidTr="00D45A2C">
        <w:tc>
          <w:tcPr>
            <w:tcW w:w="3888" w:type="dxa"/>
            <w:shd w:val="clear" w:color="auto" w:fill="DBE5F1" w:themeFill="accent1" w:themeFillTint="33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14 weeks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DTwP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IPV 3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Hib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*Rotavirus 3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br/>
              <w:t>PCV 3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Rotavirus: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A920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Only 2 doses of RV1 are recommended at present. </w:t>
            </w:r>
          </w:p>
          <w:p w:rsidR="00A9204B" w:rsidRPr="00EC3DD5" w:rsidRDefault="00A9204B" w:rsidP="00A920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If RV1 is chosen, the 2</w:t>
            </w:r>
            <w:r w:rsidRPr="00EC3D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dose should be given at 14 weeks</w:t>
            </w:r>
          </w:p>
        </w:tc>
      </w:tr>
      <w:tr w:rsidR="00A9204B" w:rsidRPr="00EC3DD5" w:rsidTr="00D45A2C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months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OPV 1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-B 3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Hepatitis-B: 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The final (third or fourth) dose in the </w:t>
            </w: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HepB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vaccine series should be administered no earlier than age 24 weeks and at least 16 weeks after the first dose.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04B" w:rsidRPr="00EC3DD5" w:rsidTr="00D45A2C">
        <w:tc>
          <w:tcPr>
            <w:tcW w:w="3888" w:type="dxa"/>
            <w:shd w:val="clear" w:color="auto" w:fill="DBE5F1" w:themeFill="accent1" w:themeFillTint="33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9 months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OPV 2</w:t>
            </w:r>
          </w:p>
          <w:p w:rsidR="00A9204B" w:rsidRPr="00EC3DD5" w:rsidRDefault="003D60A0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MMR-1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96663A" w:rsidRPr="00EC3DD5" w:rsidRDefault="0096663A" w:rsidP="003D60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0A0" w:rsidRPr="00EC3DD5" w:rsidRDefault="003D60A0" w:rsidP="003D60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MMR:</w:t>
            </w:r>
          </w:p>
          <w:p w:rsidR="00A9204B" w:rsidRPr="00EC3DD5" w:rsidRDefault="00A9204B" w:rsidP="009666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Measles</w:t>
            </w:r>
            <w:r w:rsidR="003D60A0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-containing vaccine </w:t>
            </w: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ideally should not be administered before completing 270 days or 9 months of life</w:t>
            </w:r>
            <w:r w:rsidR="003D60A0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D60A0" w:rsidRPr="00EC3DD5" w:rsidRDefault="003D60A0" w:rsidP="003D60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663A" w:rsidRPr="00EC3DD5" w:rsidRDefault="003D60A0" w:rsidP="009666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The 2</w:t>
            </w:r>
            <w:r w:rsidRPr="00EC3DD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dose must follow in 2</w:t>
            </w:r>
            <w:r w:rsidRPr="00EC3DD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year of life; </w:t>
            </w:r>
          </w:p>
          <w:p w:rsidR="0096663A" w:rsidRPr="00EC3DD5" w:rsidRDefault="0096663A" w:rsidP="003D60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663A" w:rsidRPr="00EC3DD5" w:rsidRDefault="0096663A" w:rsidP="009666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3D60A0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o need to give stand-alone measles vaccine</w:t>
            </w:r>
          </w:p>
          <w:p w:rsidR="0096663A" w:rsidRPr="00EC3DD5" w:rsidRDefault="0096663A" w:rsidP="0096663A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595" w:rsidRPr="00EC3DD5" w:rsidTr="00D45A2C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C21595" w:rsidRPr="00EC3DD5" w:rsidRDefault="00C21595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95" w:rsidRPr="00EC3DD5" w:rsidRDefault="00C21595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9-12 months</w:t>
            </w:r>
          </w:p>
          <w:p w:rsidR="00C21595" w:rsidRPr="00EC3DD5" w:rsidRDefault="00C21595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C21595" w:rsidRPr="00EC3DD5" w:rsidRDefault="00C21595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95" w:rsidRPr="00EC3DD5" w:rsidRDefault="00C21595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Typhoid </w:t>
            </w:r>
            <w:r w:rsidR="007C539C" w:rsidRPr="00EC3D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onjugate </w:t>
            </w:r>
            <w:r w:rsidR="007C539C" w:rsidRPr="00EC3DD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accine</w:t>
            </w:r>
          </w:p>
          <w:p w:rsidR="00C21595" w:rsidRPr="00EC3DD5" w:rsidRDefault="00C21595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7C539C" w:rsidRPr="00EC3DD5" w:rsidRDefault="007C539C" w:rsidP="007C539C">
            <w:pPr>
              <w:rPr>
                <w:rFonts w:ascii="Times New Roman" w:hAnsi="Times New Roman"/>
              </w:rPr>
            </w:pPr>
          </w:p>
          <w:p w:rsidR="00C21595" w:rsidRPr="00EC3DD5" w:rsidRDefault="007C539C" w:rsidP="007C539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/>
              </w:rPr>
              <w:t xml:space="preserve">Currently, two typhoid conjugate vaccines, </w:t>
            </w:r>
            <w:proofErr w:type="spellStart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Typbar</w:t>
            </w:r>
            <w:proofErr w:type="spellEnd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-TCV® and </w:t>
            </w:r>
            <w:proofErr w:type="spellStart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PedaTyph</w:t>
            </w:r>
            <w:proofErr w:type="spellEnd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® available in Indian market;</w:t>
            </w:r>
          </w:p>
          <w:p w:rsidR="007C539C" w:rsidRPr="00EC3DD5" w:rsidRDefault="007C539C" w:rsidP="007C5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39C" w:rsidRPr="00EC3DD5" w:rsidRDefault="007C539C" w:rsidP="007C539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PedaTyph</w:t>
            </w:r>
            <w:proofErr w:type="spellEnd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® is not yet approved; the recommendation is  applicable to </w:t>
            </w:r>
            <w:proofErr w:type="spellStart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Typbar</w:t>
            </w:r>
            <w:proofErr w:type="spellEnd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-TCV® only</w:t>
            </w:r>
          </w:p>
          <w:p w:rsidR="007C539C" w:rsidRPr="00EC3DD5" w:rsidRDefault="007C539C" w:rsidP="007C5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39C" w:rsidRPr="00EC3DD5" w:rsidRDefault="007C539C" w:rsidP="007C539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An interval of at least 4 weeks with the MMR vaccine should be maintained while administering this vaccine</w:t>
            </w:r>
          </w:p>
          <w:p w:rsidR="007C539C" w:rsidRPr="00EC3DD5" w:rsidRDefault="007C539C" w:rsidP="007C539C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39C" w:rsidRPr="00EC3DD5" w:rsidRDefault="007C539C" w:rsidP="007C539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Should follow a booster at 2 years of age</w:t>
            </w:r>
          </w:p>
          <w:p w:rsidR="007C539C" w:rsidRPr="00EC3DD5" w:rsidRDefault="007C539C" w:rsidP="007C53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04B" w:rsidRPr="00EC3DD5" w:rsidTr="00D45A2C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Hep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-A 1</w:t>
            </w: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6726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Hepatitis A: </w:t>
            </w:r>
          </w:p>
          <w:p w:rsidR="001D6726" w:rsidRPr="00EC3DD5" w:rsidRDefault="0096663A" w:rsidP="001D672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Single dose for live attenuated</w:t>
            </w:r>
            <w:r w:rsidR="00E636FC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H2-strain </w:t>
            </w:r>
            <w:proofErr w:type="spellStart"/>
            <w:r w:rsidR="00E636FC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Hep</w:t>
            </w:r>
            <w:proofErr w:type="spellEnd"/>
            <w:r w:rsidR="00E636FC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-A vaccine </w:t>
            </w:r>
          </w:p>
          <w:p w:rsidR="00A9204B" w:rsidRPr="00EC3DD5" w:rsidRDefault="001D6726" w:rsidP="001D672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96663A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 doses for all killed </w:t>
            </w:r>
            <w:proofErr w:type="spellStart"/>
            <w:r w:rsidR="00E636FC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Hep</w:t>
            </w:r>
            <w:proofErr w:type="spellEnd"/>
            <w:r w:rsidR="00E636FC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-A </w:t>
            </w:r>
            <w:r w:rsidR="0096663A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vaccines are </w:t>
            </w:r>
            <w:r w:rsidR="00A9204B" w:rsidRPr="00EC3DD5">
              <w:rPr>
                <w:rFonts w:ascii="Times New Roman" w:hAnsi="Times New Roman" w:cs="Times New Roman"/>
                <w:sz w:val="24"/>
                <w:szCs w:val="24"/>
              </w:rPr>
              <w:t>recommended now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4B" w:rsidRPr="00EC3DD5" w:rsidTr="00D45A2C">
        <w:tc>
          <w:tcPr>
            <w:tcW w:w="3888" w:type="dxa"/>
            <w:shd w:val="clear" w:color="auto" w:fill="DBE5F1" w:themeFill="accent1" w:themeFillTint="33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months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MMR</w:t>
            </w:r>
            <w:r w:rsidR="007C539C"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Varicella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PCV booster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8A0F73" w:rsidRPr="00EC3DD5" w:rsidRDefault="008A0F73" w:rsidP="007C53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F73" w:rsidRPr="00EC3DD5" w:rsidRDefault="007C539C" w:rsidP="007C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MMR: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F73" w:rsidRPr="00EC3DD5" w:rsidRDefault="008A0F73" w:rsidP="008A0F7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The 2</w:t>
            </w:r>
            <w:r w:rsidRPr="00EC3DD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dose must follow in 2</w:t>
            </w:r>
            <w:r w:rsidRPr="00EC3DD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year of life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F73" w:rsidRPr="00EC3DD5" w:rsidRDefault="008A0F73" w:rsidP="008A0F7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However, it can be given at anytime 4-8 weeks after the 1</w:t>
            </w:r>
            <w:r w:rsidRPr="00EC3D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dose</w:t>
            </w:r>
          </w:p>
          <w:p w:rsidR="008A0F73" w:rsidRPr="00EC3DD5" w:rsidRDefault="008A0F73" w:rsidP="007C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Varicella</w:t>
            </w:r>
            <w:proofErr w:type="spellEnd"/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The risk of breakthrough </w:t>
            </w: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varicella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is lower if given 15 months onwards</w:t>
            </w:r>
          </w:p>
          <w:p w:rsidR="007C539C" w:rsidRPr="00EC3DD5" w:rsidRDefault="007C539C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4B" w:rsidRPr="00EC3DD5" w:rsidTr="00D45A2C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16 to 18 months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B1/</w:t>
            </w: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DTaP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B1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IPV B1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Hib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B1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The first booster (4</w:t>
            </w:r>
            <w:r w:rsidRPr="00EC3D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th dose) may be administered as early as age 12 months, provided at least 6 months have elapsed since the third dose.</w:t>
            </w:r>
          </w:p>
          <w:p w:rsidR="00A9204B" w:rsidRPr="00EC3DD5" w:rsidRDefault="00A9204B" w:rsidP="00D45A2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/>
                <w:sz w:val="24"/>
                <w:szCs w:val="24"/>
              </w:rPr>
              <w:t>DTP:</w:t>
            </w:r>
          </w:p>
          <w:p w:rsidR="00A9204B" w:rsidRPr="00EC3DD5" w:rsidRDefault="00A9204B" w:rsidP="00A920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First &amp; second boosters should preferably be of </w:t>
            </w: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</w:p>
          <w:p w:rsidR="00A9204B" w:rsidRPr="00EC3DD5" w:rsidRDefault="00A9204B" w:rsidP="00D45A2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A920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Considering a higher </w:t>
            </w: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reactogenicity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DTaP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can be considered for the boosters</w:t>
            </w:r>
          </w:p>
          <w:p w:rsidR="00A9204B" w:rsidRPr="00EC3DD5" w:rsidRDefault="00A9204B" w:rsidP="00D45A2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04B" w:rsidRPr="00EC3DD5" w:rsidTr="00D45A2C">
        <w:tc>
          <w:tcPr>
            <w:tcW w:w="3888" w:type="dxa"/>
            <w:shd w:val="clear" w:color="auto" w:fill="DBE5F1" w:themeFill="accent1" w:themeFillTint="33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18 months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-A 2</w:t>
            </w:r>
          </w:p>
        </w:tc>
        <w:tc>
          <w:tcPr>
            <w:tcW w:w="6300" w:type="dxa"/>
            <w:shd w:val="clear" w:color="auto" w:fill="DBE5F1" w:themeFill="accent1" w:themeFillTint="33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204B" w:rsidRPr="00EC3DD5" w:rsidRDefault="00A9204B" w:rsidP="00C21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Hepatitis A: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595" w:rsidRPr="00EC3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595" w:rsidRPr="00EC3D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C21595"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dose for killed vaccines; only s</w:t>
            </w:r>
            <w:r w:rsidR="00C21595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ingle dose for live attenuated H2</w:t>
            </w:r>
            <w:r w:rsidR="00E636FC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-strain </w:t>
            </w:r>
            <w:r w:rsidR="00C21595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vaccine </w:t>
            </w:r>
          </w:p>
          <w:p w:rsidR="00C21595" w:rsidRPr="00EC3DD5" w:rsidRDefault="00C21595" w:rsidP="00C21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04B" w:rsidRPr="00EC3DD5" w:rsidTr="00D45A2C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years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A9204B" w:rsidRPr="00EC3DD5" w:rsidRDefault="00A9204B" w:rsidP="007C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Typhoid </w:t>
            </w:r>
            <w:r w:rsidR="007C539C" w:rsidRPr="00EC3DD5">
              <w:rPr>
                <w:rFonts w:ascii="Times New Roman" w:hAnsi="Times New Roman" w:cs="Times New Roman"/>
                <w:sz w:val="24"/>
                <w:szCs w:val="24"/>
              </w:rPr>
              <w:t>booster</w:t>
            </w:r>
          </w:p>
        </w:tc>
        <w:tc>
          <w:tcPr>
            <w:tcW w:w="6300" w:type="dxa"/>
            <w:tcBorders>
              <w:bottom w:val="single" w:sz="4" w:space="0" w:color="000000" w:themeColor="text1"/>
            </w:tcBorders>
          </w:tcPr>
          <w:p w:rsidR="005E2084" w:rsidRPr="00EC3DD5" w:rsidRDefault="005E2084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9DF" w:rsidRPr="00EC3DD5" w:rsidRDefault="002C39DF" w:rsidP="002C39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Either </w:t>
            </w:r>
            <w:proofErr w:type="spellStart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Typbar</w:t>
            </w:r>
            <w:proofErr w:type="spellEnd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-TCV® or Vi-polysaccharide (Vi-PS) can be employed as booster;</w:t>
            </w:r>
          </w:p>
          <w:p w:rsidR="002C39DF" w:rsidRPr="00EC3DD5" w:rsidRDefault="002C39DF" w:rsidP="002C39DF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9DF" w:rsidRPr="00EC3DD5" w:rsidRDefault="002C39DF" w:rsidP="002C39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Typhoid revaccination every 3 years, if Vi-polysaccharide vaccine is used</w:t>
            </w:r>
          </w:p>
          <w:p w:rsidR="002C39DF" w:rsidRPr="00EC3DD5" w:rsidRDefault="002C39DF" w:rsidP="002C39DF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39C" w:rsidRPr="00EC3DD5" w:rsidRDefault="002C39DF" w:rsidP="007C53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Need of revaccination following a booster of </w:t>
            </w:r>
            <w:proofErr w:type="spellStart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Typbar</w:t>
            </w:r>
            <w:proofErr w:type="spellEnd"/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-TCV® not yet determined</w:t>
            </w:r>
            <w:r w:rsidR="007C539C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C539C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determined</w:t>
            </w:r>
            <w:proofErr w:type="spellEnd"/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04B" w:rsidRPr="00EC3DD5" w:rsidTr="00D45A2C">
        <w:tc>
          <w:tcPr>
            <w:tcW w:w="3888" w:type="dxa"/>
            <w:shd w:val="clear" w:color="auto" w:fill="DBE5F1" w:themeFill="accent1" w:themeFillTint="33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4  to 6 years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7C539C" w:rsidRPr="00EC3DD5" w:rsidRDefault="007C539C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DTwP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B2/</w:t>
            </w: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DTaP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OPV 3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Varicella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Typhoid </w:t>
            </w:r>
            <w:r w:rsidR="00886714" w:rsidRPr="00EC3DD5">
              <w:rPr>
                <w:rFonts w:ascii="Times New Roman" w:hAnsi="Times New Roman" w:cs="Times New Roman"/>
                <w:sz w:val="24"/>
                <w:szCs w:val="24"/>
              </w:rPr>
              <w:t>booster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Varicella</w:t>
            </w:r>
            <w:proofErr w:type="spellEnd"/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the 2</w:t>
            </w:r>
            <w:r w:rsidRPr="00EC3D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dose can be given at anytime 3 months after the 1</w:t>
            </w:r>
            <w:r w:rsidRPr="00EC3D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dose.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04B" w:rsidRPr="00EC3DD5" w:rsidTr="00D45A2C">
        <w:tc>
          <w:tcPr>
            <w:tcW w:w="3888" w:type="dxa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10 to 12 years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Tdap</w:t>
            </w:r>
            <w:proofErr w:type="spellEnd"/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/Td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HPV 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Tdap</w:t>
            </w:r>
            <w:proofErr w:type="spellEnd"/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>is preferred to Td followed by Td every 10 years.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9C" w:rsidRPr="00EC3DD5" w:rsidRDefault="00A9204B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HPV:</w:t>
            </w:r>
            <w:r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FD1" w:rsidRPr="00EC3DD5" w:rsidRDefault="00366FD1" w:rsidP="00D45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39C" w:rsidRPr="00EC3DD5" w:rsidRDefault="007C539C" w:rsidP="00713C9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Only </w:t>
            </w:r>
            <w:r w:rsidR="00366FD1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doses of </w:t>
            </w:r>
            <w:r w:rsidR="00366FD1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either of the two </w:t>
            </w: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HPV vaccine</w:t>
            </w:r>
            <w:r w:rsidR="00366FD1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for adolescent/preadolescent girls aged 9-14 years</w:t>
            </w:r>
            <w:r w:rsidR="00366FD1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66FD1" w:rsidRPr="00EC3DD5" w:rsidRDefault="00366FD1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9C" w:rsidRPr="00EC3DD5" w:rsidRDefault="00366FD1" w:rsidP="00713C9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For girls 15 years and older,</w:t>
            </w:r>
            <w:r w:rsidR="00713C9F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="00713C9F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immunocompromised</w:t>
            </w:r>
            <w:proofErr w:type="spellEnd"/>
            <w:r w:rsidR="00713C9F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individuals </w:t>
            </w: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3 doses are recommended</w:t>
            </w:r>
          </w:p>
          <w:p w:rsidR="007C539C" w:rsidRPr="00EC3DD5" w:rsidRDefault="007C539C" w:rsidP="00D4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D1" w:rsidRPr="00EC3DD5" w:rsidRDefault="00366FD1" w:rsidP="00713C9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For two-dose schedule, the minimum interval between doses should be 6 months.</w:t>
            </w:r>
          </w:p>
          <w:p w:rsidR="00366FD1" w:rsidRPr="00EC3DD5" w:rsidRDefault="00366FD1" w:rsidP="00D45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204B" w:rsidRPr="00EC3DD5" w:rsidRDefault="00366FD1" w:rsidP="00713C9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>For 3 dose schedule,</w:t>
            </w:r>
            <w:r w:rsidR="00713C9F" w:rsidRPr="00EC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doses can be administered at </w:t>
            </w:r>
            <w:r w:rsidR="00A9204B" w:rsidRPr="00EC3DD5">
              <w:rPr>
                <w:rFonts w:ascii="Times New Roman" w:hAnsi="Times New Roman" w:cs="Times New Roman"/>
                <w:sz w:val="24"/>
                <w:szCs w:val="24"/>
              </w:rPr>
              <w:t xml:space="preserve">0, 1-2 (depending on brands) and 6 months </w:t>
            </w:r>
          </w:p>
          <w:p w:rsidR="00A9204B" w:rsidRPr="00EC3DD5" w:rsidRDefault="00A9204B" w:rsidP="00D4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204B" w:rsidRPr="00EC3DD5" w:rsidRDefault="00A9204B" w:rsidP="00A92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DD5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IAP recommended vaccines for High-risk* children (</w:t>
      </w:r>
      <w:r w:rsidRPr="00EC3DD5">
        <w:rPr>
          <w:rFonts w:ascii="Times New Roman" w:hAnsi="Times New Roman" w:cs="Times New Roman"/>
          <w:b/>
          <w:bCs/>
          <w:sz w:val="28"/>
          <w:szCs w:val="28"/>
          <w:lang w:bidi="pa-IN"/>
        </w:rPr>
        <w:t xml:space="preserve">Vaccines under special circumstances):  </w:t>
      </w:r>
    </w:p>
    <w:p w:rsidR="00A9204B" w:rsidRPr="00EC3DD5" w:rsidRDefault="00A9204B" w:rsidP="00A9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pa-IN"/>
        </w:rPr>
      </w:pPr>
      <w:r w:rsidRPr="00EC3DD5">
        <w:rPr>
          <w:rFonts w:ascii="Times New Roman" w:eastAsia="Times New Roman" w:hAnsi="Times New Roman" w:cs="Times New Roman"/>
          <w:sz w:val="24"/>
          <w:szCs w:val="24"/>
          <w:lang w:bidi="pa-IN"/>
        </w:rPr>
        <w:t>1-Influenza Vaccine</w:t>
      </w:r>
      <w:r w:rsidRPr="00EC3DD5">
        <w:rPr>
          <w:rFonts w:ascii="Times New Roman" w:eastAsia="Times New Roman" w:hAnsi="Times New Roman" w:cs="Times New Roman"/>
          <w:sz w:val="24"/>
          <w:szCs w:val="24"/>
          <w:lang w:bidi="pa-IN"/>
        </w:rPr>
        <w:br/>
        <w:t>2-Meningococcal Vaccine</w:t>
      </w:r>
      <w:r w:rsidRPr="00EC3DD5">
        <w:rPr>
          <w:rFonts w:ascii="Times New Roman" w:eastAsia="Times New Roman" w:hAnsi="Times New Roman" w:cs="Times New Roman"/>
          <w:sz w:val="24"/>
          <w:szCs w:val="24"/>
          <w:lang w:bidi="pa-IN"/>
        </w:rPr>
        <w:br/>
        <w:t>3-Japanese Encephalitis Vaccine</w:t>
      </w:r>
      <w:r w:rsidRPr="00EC3DD5">
        <w:rPr>
          <w:rFonts w:ascii="Times New Roman" w:eastAsia="Times New Roman" w:hAnsi="Times New Roman" w:cs="Times New Roman"/>
          <w:sz w:val="24"/>
          <w:szCs w:val="24"/>
          <w:lang w:bidi="pa-IN"/>
        </w:rPr>
        <w:br/>
        <w:t>4-Cholera Vaccine</w:t>
      </w:r>
      <w:r w:rsidRPr="00EC3DD5">
        <w:rPr>
          <w:rFonts w:ascii="Times New Roman" w:eastAsia="Times New Roman" w:hAnsi="Times New Roman" w:cs="Times New Roman"/>
          <w:sz w:val="24"/>
          <w:szCs w:val="24"/>
          <w:lang w:bidi="pa-IN"/>
        </w:rPr>
        <w:br/>
        <w:t>5-Rabies Vaccine</w:t>
      </w:r>
    </w:p>
    <w:p w:rsidR="00A9204B" w:rsidRPr="00EC3DD5" w:rsidRDefault="00A9204B" w:rsidP="00A9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pa-IN"/>
        </w:rPr>
      </w:pPr>
      <w:r w:rsidRPr="00EC3DD5">
        <w:rPr>
          <w:rFonts w:ascii="Times New Roman" w:eastAsia="Times New Roman" w:hAnsi="Times New Roman" w:cs="Times New Roman"/>
          <w:sz w:val="24"/>
          <w:szCs w:val="24"/>
          <w:lang w:bidi="pa-IN"/>
        </w:rPr>
        <w:t>6-Yellow Fever Vaccine</w:t>
      </w:r>
      <w:r w:rsidRPr="00EC3DD5">
        <w:rPr>
          <w:rFonts w:ascii="Times New Roman" w:eastAsia="Times New Roman" w:hAnsi="Times New Roman" w:cs="Times New Roman"/>
          <w:sz w:val="24"/>
          <w:szCs w:val="24"/>
          <w:lang w:bidi="pa-IN"/>
        </w:rPr>
        <w:br/>
        <w:t>7-Pneumococcal Polysaccharide vaccine (PPSV 23)</w:t>
      </w:r>
    </w:p>
    <w:p w:rsidR="00A9204B" w:rsidRPr="00EC3DD5" w:rsidRDefault="00A9204B" w:rsidP="00A9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pa-IN"/>
        </w:rPr>
      </w:pPr>
    </w:p>
    <w:p w:rsidR="00A9204B" w:rsidRPr="00EC3DD5" w:rsidRDefault="00A9204B" w:rsidP="00A9204B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C3D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r w:rsidRPr="00EC3D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High-risk category of children: </w:t>
      </w:r>
    </w:p>
    <w:p w:rsidR="00A9204B" w:rsidRPr="00EC3DD5" w:rsidRDefault="00A9204B" w:rsidP="00A92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3DD5">
        <w:rPr>
          <w:rFonts w:ascii="Times New Roman" w:hAnsi="Times New Roman" w:cs="Times New Roman"/>
        </w:rPr>
        <w:t xml:space="preserve">Congenital or acquired immunodeficiency (including HIV infection),  </w:t>
      </w:r>
    </w:p>
    <w:p w:rsidR="00A9204B" w:rsidRPr="00EC3DD5" w:rsidRDefault="00A9204B" w:rsidP="00A92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3DD5">
        <w:rPr>
          <w:rFonts w:ascii="Times New Roman" w:hAnsi="Times New Roman" w:cs="Times New Roman"/>
        </w:rPr>
        <w:t xml:space="preserve">Chronic cardiac, pulmonary (including asthma if treated with prolonged high-dose oral corticosteroids), hematologic, renal (including </w:t>
      </w:r>
      <w:proofErr w:type="spellStart"/>
      <w:r w:rsidRPr="00EC3DD5">
        <w:rPr>
          <w:rFonts w:ascii="Times New Roman" w:hAnsi="Times New Roman" w:cs="Times New Roman"/>
        </w:rPr>
        <w:t>nephrotic</w:t>
      </w:r>
      <w:proofErr w:type="spellEnd"/>
      <w:r w:rsidRPr="00EC3DD5">
        <w:rPr>
          <w:rFonts w:ascii="Times New Roman" w:hAnsi="Times New Roman" w:cs="Times New Roman"/>
        </w:rPr>
        <w:t xml:space="preserve"> syndrome), liver disease and diabetes mellitus</w:t>
      </w:r>
    </w:p>
    <w:p w:rsidR="00A9204B" w:rsidRPr="00EC3DD5" w:rsidRDefault="00A9204B" w:rsidP="00A92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3DD5">
        <w:rPr>
          <w:rFonts w:ascii="Times New Roman" w:hAnsi="Times New Roman" w:cs="Times New Roman"/>
        </w:rPr>
        <w:t xml:space="preserve">Children on long term steroids, </w:t>
      </w:r>
      <w:proofErr w:type="spellStart"/>
      <w:r w:rsidRPr="00EC3DD5">
        <w:rPr>
          <w:rFonts w:ascii="Times New Roman" w:hAnsi="Times New Roman" w:cs="Times New Roman"/>
        </w:rPr>
        <w:t>salicylates</w:t>
      </w:r>
      <w:proofErr w:type="spellEnd"/>
      <w:r w:rsidRPr="00EC3DD5">
        <w:rPr>
          <w:rFonts w:ascii="Times New Roman" w:hAnsi="Times New Roman" w:cs="Times New Roman"/>
        </w:rPr>
        <w:t>, immunosuppressive or radiation therapy</w:t>
      </w:r>
    </w:p>
    <w:p w:rsidR="00A9204B" w:rsidRPr="00EC3DD5" w:rsidRDefault="00A9204B" w:rsidP="00A92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3DD5">
        <w:rPr>
          <w:rFonts w:ascii="Times New Roman" w:hAnsi="Times New Roman" w:cs="Times New Roman"/>
        </w:rPr>
        <w:t xml:space="preserve">Diabetes mellitus, Cerebrospinal fluid leak,  Cochlear implant, Malignancies, </w:t>
      </w:r>
    </w:p>
    <w:p w:rsidR="00A9204B" w:rsidRPr="00EC3DD5" w:rsidRDefault="00A9204B" w:rsidP="00A92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3DD5">
        <w:rPr>
          <w:rFonts w:ascii="Times New Roman" w:hAnsi="Times New Roman" w:cs="Times New Roman"/>
        </w:rPr>
        <w:t xml:space="preserve">Children with functional/ anatomic </w:t>
      </w:r>
      <w:proofErr w:type="spellStart"/>
      <w:r w:rsidRPr="00EC3DD5">
        <w:rPr>
          <w:rFonts w:ascii="Times New Roman" w:hAnsi="Times New Roman" w:cs="Times New Roman"/>
        </w:rPr>
        <w:t>asplenia</w:t>
      </w:r>
      <w:proofErr w:type="spellEnd"/>
      <w:r w:rsidRPr="00EC3DD5">
        <w:rPr>
          <w:rFonts w:ascii="Times New Roman" w:hAnsi="Times New Roman" w:cs="Times New Roman"/>
        </w:rPr>
        <w:t xml:space="preserve">/ </w:t>
      </w:r>
      <w:proofErr w:type="spellStart"/>
      <w:r w:rsidRPr="00EC3DD5">
        <w:rPr>
          <w:rFonts w:ascii="Times New Roman" w:hAnsi="Times New Roman" w:cs="Times New Roman"/>
        </w:rPr>
        <w:t>hyposplenia</w:t>
      </w:r>
      <w:proofErr w:type="spellEnd"/>
      <w:r w:rsidRPr="00EC3DD5">
        <w:rPr>
          <w:rFonts w:ascii="Times New Roman" w:hAnsi="Times New Roman" w:cs="Times New Roman"/>
        </w:rPr>
        <w:t xml:space="preserve"> </w:t>
      </w:r>
    </w:p>
    <w:p w:rsidR="00A9204B" w:rsidRPr="00EC3DD5" w:rsidRDefault="00A9204B" w:rsidP="00A92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3DD5">
        <w:rPr>
          <w:rFonts w:ascii="Times New Roman" w:hAnsi="Times New Roman" w:cs="Times New Roman"/>
        </w:rPr>
        <w:t>During disease outbreaks</w:t>
      </w:r>
    </w:p>
    <w:p w:rsidR="00A9204B" w:rsidRPr="00EC3DD5" w:rsidRDefault="00A9204B" w:rsidP="00A92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3DD5">
        <w:rPr>
          <w:rFonts w:ascii="Times New Roman" w:hAnsi="Times New Roman" w:cs="Times New Roman"/>
        </w:rPr>
        <w:t>Laboratory personnel and healthcare workers</w:t>
      </w:r>
    </w:p>
    <w:p w:rsidR="00A9204B" w:rsidRPr="00EC3DD5" w:rsidRDefault="00A9204B" w:rsidP="00A92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3DD5">
        <w:rPr>
          <w:rFonts w:ascii="Times New Roman" w:hAnsi="Times New Roman" w:cs="Times New Roman"/>
          <w:lang w:bidi="pa-IN"/>
        </w:rPr>
        <w:t>Travelers</w:t>
      </w:r>
    </w:p>
    <w:p w:rsidR="00446CEB" w:rsidRPr="00EC3DD5" w:rsidRDefault="00446CEB" w:rsidP="00446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C3DD5">
        <w:rPr>
          <w:rFonts w:ascii="Times New Roman" w:hAnsi="Times New Roman" w:cs="Times New Roman"/>
          <w:bCs/>
          <w:sz w:val="24"/>
          <w:szCs w:val="24"/>
        </w:rPr>
        <w:t>Children having pets in home</w:t>
      </w:r>
    </w:p>
    <w:p w:rsidR="00446CEB" w:rsidRPr="00EC3DD5" w:rsidRDefault="00446CEB" w:rsidP="00446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C3DD5">
        <w:rPr>
          <w:rFonts w:ascii="Times New Roman" w:hAnsi="Times New Roman" w:cs="Times New Roman"/>
          <w:bCs/>
          <w:sz w:val="24"/>
          <w:szCs w:val="24"/>
        </w:rPr>
        <w:t xml:space="preserve">Children perceived with higher threat of being bitten by dogs such as hostellers, risk of stray dog menace </w:t>
      </w:r>
      <w:r w:rsidR="008F3F6D" w:rsidRPr="00EC3DD5">
        <w:rPr>
          <w:rFonts w:ascii="Times New Roman" w:hAnsi="Times New Roman" w:cs="Times New Roman"/>
          <w:bCs/>
          <w:sz w:val="24"/>
          <w:szCs w:val="24"/>
        </w:rPr>
        <w:t xml:space="preserve">while going outdoor. </w:t>
      </w:r>
    </w:p>
    <w:p w:rsidR="00446CEB" w:rsidRPr="00EC3DD5" w:rsidRDefault="00446CEB" w:rsidP="00446CEB">
      <w:pPr>
        <w:pStyle w:val="ListParagraph"/>
        <w:rPr>
          <w:rFonts w:ascii="Times New Roman" w:hAnsi="Times New Roman" w:cs="Times New Roman"/>
        </w:rPr>
      </w:pPr>
    </w:p>
    <w:p w:rsidR="00A9204B" w:rsidRPr="00EC3DD5" w:rsidRDefault="00A9204B" w:rsidP="00A920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EE" w:rsidRPr="00EC3DD5" w:rsidRDefault="00EC3DD5"/>
    <w:sectPr w:rsidR="00631EEE" w:rsidRPr="00EC3DD5" w:rsidSect="002E5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234"/>
    <w:multiLevelType w:val="hybridMultilevel"/>
    <w:tmpl w:val="D5CC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509C"/>
    <w:multiLevelType w:val="hybridMultilevel"/>
    <w:tmpl w:val="75861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E2F60"/>
    <w:multiLevelType w:val="hybridMultilevel"/>
    <w:tmpl w:val="47BC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62B4"/>
    <w:multiLevelType w:val="hybridMultilevel"/>
    <w:tmpl w:val="B808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F041A"/>
    <w:multiLevelType w:val="hybridMultilevel"/>
    <w:tmpl w:val="23B8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40BF6"/>
    <w:multiLevelType w:val="hybridMultilevel"/>
    <w:tmpl w:val="256A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A4289"/>
    <w:multiLevelType w:val="hybridMultilevel"/>
    <w:tmpl w:val="748C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35892"/>
    <w:multiLevelType w:val="hybridMultilevel"/>
    <w:tmpl w:val="53F4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329C4"/>
    <w:multiLevelType w:val="hybridMultilevel"/>
    <w:tmpl w:val="ECD0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1082A"/>
    <w:multiLevelType w:val="hybridMultilevel"/>
    <w:tmpl w:val="B424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C0D76"/>
    <w:multiLevelType w:val="hybridMultilevel"/>
    <w:tmpl w:val="2B2A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61259"/>
    <w:multiLevelType w:val="hybridMultilevel"/>
    <w:tmpl w:val="292C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82FF5"/>
    <w:multiLevelType w:val="hybridMultilevel"/>
    <w:tmpl w:val="1A9A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A2482"/>
    <w:multiLevelType w:val="hybridMultilevel"/>
    <w:tmpl w:val="78BA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04B"/>
    <w:rsid w:val="000F0F3C"/>
    <w:rsid w:val="001D6726"/>
    <w:rsid w:val="002B2932"/>
    <w:rsid w:val="002B6622"/>
    <w:rsid w:val="002C39DF"/>
    <w:rsid w:val="00366FD1"/>
    <w:rsid w:val="003C20BC"/>
    <w:rsid w:val="003D60A0"/>
    <w:rsid w:val="00446CEB"/>
    <w:rsid w:val="004A4736"/>
    <w:rsid w:val="004F6696"/>
    <w:rsid w:val="00557B0C"/>
    <w:rsid w:val="005E2084"/>
    <w:rsid w:val="00666334"/>
    <w:rsid w:val="00713C9F"/>
    <w:rsid w:val="007C539C"/>
    <w:rsid w:val="00810E0A"/>
    <w:rsid w:val="0083073B"/>
    <w:rsid w:val="00886714"/>
    <w:rsid w:val="008A0F73"/>
    <w:rsid w:val="008F3F6D"/>
    <w:rsid w:val="0096663A"/>
    <w:rsid w:val="00996E81"/>
    <w:rsid w:val="00A629C5"/>
    <w:rsid w:val="00A9204B"/>
    <w:rsid w:val="00B52D08"/>
    <w:rsid w:val="00C21595"/>
    <w:rsid w:val="00D90761"/>
    <w:rsid w:val="00E636FC"/>
    <w:rsid w:val="00EC3DD5"/>
    <w:rsid w:val="00F4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Vipin Vashishtha</cp:lastModifiedBy>
  <cp:revision>17</cp:revision>
  <dcterms:created xsi:type="dcterms:W3CDTF">2014-06-19T03:22:00Z</dcterms:created>
  <dcterms:modified xsi:type="dcterms:W3CDTF">2014-08-22T04:23:00Z</dcterms:modified>
</cp:coreProperties>
</file>